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center"/>
        <w:rPr>
          <w:b w:val="on"/>
          <w:sz w:val="24"/>
          <w:u w:val="single"/>
        </w:rPr>
      </w:pPr>
      <w:r>
        <w:rPr>
          <w:b w:val="on"/>
          <w:sz w:val="24"/>
          <w:u w:val="single"/>
        </w:rPr>
        <w:t xml:space="preserve">TERMS AND CONDITIONS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ind w:left="720"/>
        <w:rPr>
          <w:rFonts w:ascii="Arial" w:hAnsi="Arial" w:eastAsia="Arial"/>
          <w:b w:val="on"/>
          <w:color w:val="auto"/>
          <w:sz w:val="22"/>
        </w:rPr>
      </w:pPr>
      <w:r>
        <w:rPr>
          <w:rFonts w:ascii="Arial" w:hAnsi="Arial" w:eastAsia="Arial"/>
          <w:b w:val="on"/>
          <w:color w:val="auto"/>
          <w:sz w:val="22"/>
        </w:rPr>
        <w:t xml:space="preserve">Website Terms and Conditions of Use Relating </w:t>
      </w:r>
      <w:r>
        <w:rPr>
          <w:rFonts w:ascii="Arial" w:hAnsi="Arial" w:eastAsia="Arial"/>
          <w:b w:val="on"/>
          <w:color w:val="auto"/>
          <w:sz w:val="20"/>
        </w:rPr>
        <w:t xml:space="preserve">to </w:t>
      </w:r>
      <w:r>
        <w:rPr>
          <w:rFonts w:ascii="Arial" w:hAnsi="Arial" w:eastAsia="Arial"/>
          <w:b w:val="on"/>
          <w:color w:val="auto"/>
          <w:sz w:val="20"/>
          <w:shd w:val="clear" w:fill="FFFF00"/>
        </w:rPr>
        <w:t xml:space="preserve">[thenorthgate.xyz]</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ind w:left="720"/>
        <w:rPr>
          <w:rFonts w:ascii="Arial" w:hAnsi="Arial" w:eastAsia="Arial"/>
          <w:color w:val="auto"/>
          <w:sz w:val="20"/>
        </w:rPr>
      </w:pPr>
      <w:r>
        <w:rPr>
          <w:rFonts w:ascii="Arial" w:hAnsi="Arial" w:eastAsia="Arial"/>
          <w:color w:val="auto"/>
          <w:sz w:val="20"/>
        </w:rPr>
        <w:t xml:space="preserve">These Terms and Conditions (“the Terms and Conditions”) govern your (“the User”) use of the </w:t>
      </w:r>
      <w:r>
        <w:rPr>
          <w:rFonts w:ascii="Arial" w:hAnsi="Arial" w:eastAsia="Arial"/>
          <w:b w:val="on"/>
          <w:color w:val="auto"/>
          <w:sz w:val="20"/>
          <w:shd w:val="clear" w:fill="FFFF00"/>
        </w:rPr>
        <w:t xml:space="preserve">[THE NORTH GATE CIVICS ORGANIZATION]</w:t>
      </w:r>
      <w:r>
        <w:rPr>
          <w:rFonts w:ascii="Arial" w:hAnsi="Arial" w:eastAsia="Arial"/>
          <w:color w:val="auto"/>
          <w:sz w:val="20"/>
        </w:rPr>
        <w:t xml:space="preserve"> (“Provider”) website located at the domain name </w:t>
      </w:r>
      <w:r>
        <w:rPr>
          <w:rFonts w:ascii="Arial" w:hAnsi="Arial" w:eastAsia="Arial"/>
          <w:b w:val="on"/>
          <w:color w:val="auto"/>
          <w:sz w:val="20"/>
          <w:shd w:val="clear" w:fill="FFFF00"/>
        </w:rPr>
        <w:t xml:space="preserve">[thenorthgate.xyz]</w:t>
      </w:r>
      <w:r>
        <w:rPr>
          <w:rFonts w:ascii="Arial" w:hAnsi="Arial" w:eastAsia="Arial"/>
          <w:color w:val="auto"/>
          <w:sz w:val="20"/>
        </w:rPr>
        <w:t xml:space="preserve"> (“the Website”). By accessing and using the Website, the User agrees to be bound by the Terms and Conditions set out in this legal notice. The User may not access, display, use, download, and/or otherwise copy or distribute Content obtained on the website for marketing and other purposes without the expressed written consent of the Provider.</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ind w:left="720"/>
        <w:rPr>
          <w:rFonts w:ascii="Arial" w:hAnsi="Arial" w:eastAsia="Arial"/>
          <w:b w:val="on"/>
          <w:color w:val="auto"/>
          <w:sz w:val="20"/>
        </w:rPr>
      </w:pPr>
      <w:r>
        <w:rPr>
          <w:rFonts w:ascii="Arial" w:hAnsi="Arial" w:eastAsia="Arial"/>
          <w:b w:val="on"/>
          <w:color w:val="auto"/>
          <w:sz w:val="20"/>
        </w:rPr>
        <w:t xml:space="preserve">Electronic Communications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ind w:left="720"/>
        <w:rPr>
          <w:rFonts w:ascii="Arial" w:hAnsi="Arial" w:eastAsia="Arial"/>
          <w:color w:val="auto"/>
          <w:sz w:val="20"/>
        </w:rPr>
      </w:pPr>
      <w:r>
        <w:rPr>
          <w:rFonts w:ascii="Arial" w:hAnsi="Arial" w:eastAsia="Arial"/>
          <w:color w:val="auto"/>
          <w:sz w:val="20"/>
        </w:rPr>
        <w:t xml:space="preserve">By using this Website or communicating with the Provider by electronic means, the user consents and acknowledges that any and all agreements, notices, disclosures, or any other communication satisfies any legal requirement, including but not limited to the requirement that such communications should be in writing.</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b w:val="on"/>
          <w:color w:val="auto"/>
          <w:sz w:val="22"/>
        </w:rPr>
      </w:pPr>
      <w:r>
        <w:rPr>
          <w:rFonts w:ascii="Arial" w:hAnsi="Arial" w:eastAsia="Arial"/>
          <w:b w:val="on"/>
          <w:color w:val="auto"/>
          <w:sz w:val="22"/>
        </w:rPr>
        <w:t xml:space="preserve">Refund and Return Policy</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The provision of goods and services is subject to availability. In cases of unavailability, the provider will refund the client in full within 30 days. Cancellation of orders by the client will attract a 10% charge for administration costs.  </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The Provider reserves the right to cancel an order for which payment has already been received.  This may occur if stock is insufficient or the quality of goods ordered does not meet the Provider’s standards.  Should the Provider exercise this right, the User will receive a full refund with no deductions.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Any complaints regarding the standard and quality of the product or products bought by consumers through the e-commerce facility should be directed to the </w:t>
      </w:r>
      <w:r>
        <w:rPr>
          <w:rFonts w:ascii="Arial" w:hAnsi="Arial" w:eastAsia="Arial"/>
          <w:color w:val="auto"/>
          <w:sz w:val="20"/>
          <w:shd w:val="clear" w:fill="FFFF00"/>
        </w:rPr>
        <w:t xml:space="preserve">Marketing Manager.</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2"/>
        </w:rPr>
      </w:pPr>
      <w:r>
        <w:rPr>
          <w:rFonts w:ascii="Arial" w:hAnsi="Arial" w:eastAsia="Arial"/>
          <w:b w:val="on"/>
          <w:color w:val="auto"/>
          <w:sz w:val="22"/>
        </w:rPr>
        <w:t xml:space="preserve">Updating of these Terms and Conditions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Provider reserves the rights to change, modify, add or remove from portions or the whole of these Terms and Conditions from time to time. Changes to these Terms and Conditions will become effective upon such changes being posted to this Website. It is the User’s obligation to periodically check these Terms and Conditions at the Website for changes or updates. The User’s continued use of this Website following the posting of changes or updates will be considered notice of the User’s acceptance to abide by and be bound by these Terms and Conditions, including such changes or updates.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b w:val="on"/>
          <w:color w:val="auto"/>
          <w:sz w:val="22"/>
        </w:rPr>
      </w:pPr>
      <w:r>
        <w:rPr>
          <w:rFonts w:ascii="Arial" w:hAnsi="Arial" w:eastAsia="Arial"/>
          <w:b w:val="on"/>
          <w:color w:val="auto"/>
          <w:sz w:val="22"/>
        </w:rPr>
        <w:t xml:space="preserve">Copyright and Intellectual Property Rights</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Provider provides certain information at the Website. Content currently or anticipated to be displayed at this Website is provided by Provider, its affiliates and/or subsidiary, or any other third party owners of such content, and includes but is not limited to Literary Works, Musical Works, Artistic Works, Sound Recordings, Cinematograph Films, Sound and Television Broadcasts, Program-Carrying Signals, Published Editions and Computer Programs (“the Content”). All such proprietary works, and the compilation of the proprietary works, are copyright the Provider, its affiliates or subsidiary, or any other third party owner of such rights (“the Owners”), and is protected by common law and international copyright laws. The Provider[s] reserve the right to make any changes to the Website, the Content, or to products and/or services offered through the Website at any times and without notice. All rights in and to the Content is reserved and retained by the Owners. Except as specified in these Terms and Conditions, the User is not granted a license or any other right including without limitation under Copyright, Trademark, Patent or other Intellectual Property Rights in or to the Content.</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2"/>
        </w:rPr>
      </w:pPr>
      <w:r>
        <w:rPr>
          <w:rFonts w:ascii="Arial" w:hAnsi="Arial" w:eastAsia="Arial"/>
          <w:b w:val="on"/>
          <w:color w:val="auto"/>
          <w:sz w:val="22"/>
        </w:rPr>
        <w:t xml:space="preserve">Limitation of liability</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The Website and all Content on the Website, including any current or future offer of products or services, are provided on an “as is” basis, and may include inaccuracies or typographical errors. The Owners make no warranty or representation as to the availability, accuracy or completeness of the Content. Neither Provider nor any holding company, affiliate or subsidiary of Provider, shall be held responsible for any direct or indirect special, consequential or other damage of any kind whatsoever suffered or incurred, related to the use of, or the inability to access or use the Content or the Website or any functionality thereof, or of any linked website, even if Provider is expressly advised thereof.</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2"/>
        </w:rPr>
      </w:pPr>
      <w:r>
        <w:rPr>
          <w:rFonts w:ascii="Arial" w:hAnsi="Arial" w:eastAsia="Arial"/>
          <w:b w:val="on"/>
          <w:color w:val="auto"/>
          <w:sz w:val="22"/>
        </w:rPr>
        <w:t xml:space="preserve">Privacy:  casual surfing</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r>
        <w:rPr>
          <w:rFonts w:ascii="Arial" w:hAnsi="Arial" w:eastAsia="Arial"/>
          <w:color w:val="auto"/>
          <w:sz w:val="20"/>
        </w:rPr>
        <w:t xml:space="preserve">The User may visit the Website without providing any personal information. The Website servers will in such instances collect the IP address of the User computer and any other distinguishing information. This information is aggregated to measure the number of visits, average time spent at the Website, pages viewed, etc. Provider uses this information to determine use of the Website, and to improve Content thereon. Provider assumes no obligation to protect this information, and may copy, distribute or otherwise use such information without limitation.</w:t>
      </w:r>
    </w:p>
    <w:p>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eastAsia="Arial"/>
          <w:color w:val="auto"/>
          <w:sz w:val="2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pPr>
    </w:p>
    <w:sectPr>
      <w:headerReference w:type="default" r:id="rId00005"/>
      <w:headerReference w:type="first" r:id="rId00006"/>
      <w:footerReference w:type="first" r:id="rId00007"/>
      <w:pgSz w:w="12240" w:h="15840"/>
      <w:pgMar w:top="810" w:right="1800" w:bottom="1440" w:left="1800" w:header="720" w:footer="720"/>
      <w:titlePg/>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ahoma">
    <w:charset w:val="00"/>
    <w:family w:val="swiss"/>
    <w:pitch w:val="variable"/>
  </w:font>
  <w:font w:name="Verdana">
    <w:charset w:val="00"/>
    <w:family w:val="swiss"/>
    <w:pitch w:val="variable"/>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p>
    <w:pPr>
      <w:pStyle w:val="[Normal]"/>
      <w:widowControl w:val="on"/>
      <w:tabs>
        <w:tab w:val="left" w:pos="8639"/>
        <w:tab w:val="clear" w:pos="9072"/>
      </w:tabs>
      <w:rPr>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p>
    <w:pPr>
      <w:pStyle w:val="header"/>
      <w:tabs>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clear" w:pos="8640"/>
      </w:tabs>
      <w:jc w:val="right"/>
    </w:pPr>
    <w:r>
      <w:fldChar w:fldCharType="begin"/>
    </w:r>
    <w:r>
      <w:instrText xml:space="preserve">  PAGE \* Arabic \* MERGEFORMAT </w:instrText>
    </w:r>
    <w:r>
      <w:fldChar w:fldCharType="separate"/>
    </w:r>
    <w:r>
      <w:t xml:space="preserve">2</w:t>
    </w:r>
    <w:r>
      <w:fldChar w:fldCharType="end"/>
    </w:r>
  </w:p>
  <w:p>
    <w:pPr>
      <w:pStyle w:val="header"/>
      <w:tabs>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clear" w:pos="8640"/>
      </w:tabs>
      <w:ind w:right="360"/>
    </w:pPr>
  </w:p>
  <w:p>
    <w:pPr>
      <w:pStyle w:val="header"/>
      <w:tabs>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clear" w:pos="8640"/>
      </w:tabs>
      <w:ind w:right="360"/>
    </w:pPr>
  </w:p>
  <w:p>
    <w:pPr>
      <w:pStyle w:val="header"/>
      <w:tabs>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clear" w:pos="8640"/>
      </w:tabs>
      <w:ind w:right="360"/>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p>
    <w:pPr>
      <w:pStyle w:val="[Normal]"/>
      <w:widowControl w:val="on"/>
      <w:tabs>
        <w:tab w:val="left" w:pos="8639"/>
        <w:tab w:val="clear" w:pos="9072"/>
      </w:tabs>
      <w:rPr>
        <w:sz w:val="20"/>
      </w:rPr>
    </w:pPr>
  </w:p>
</w:hdr>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er">
    <w:name w:val="header"/>
    <w:basedOn w:val="Normal"/>
    <w:next w:val="header"/>
    <w:qFormat/>
    <w:pPr>
      <w:tabs>
        <w:tab w:val="center" w:pos="4320"/>
        <w:tab w:val="right" w:pos="8640"/>
      </w:tabs>
    </w:pPr>
    <w:rPr>
      <w:rFonts w:ascii="Tahoma" w:hAnsi="Tahoma" w:eastAsia="Tahoma"/>
      <w:sz w:val="22"/>
    </w:rPr>
  </w:style>
  <w:style w:type="paragraph" w:styleId="body-text-1">
    <w:name w:val="body-text-1"/>
    <w:basedOn w:val="Normal"/>
    <w:next w:val="body-text-1"/>
    <w:qFormat/>
    <w:pPr>
      <w:spacing w:before="180"/>
      <w:jc w:val="both"/>
    </w:pPr>
    <w:rPr>
      <w:rFonts w:ascii="Verdana" w:hAnsi="Verdana" w:eastAsia="Verdana"/>
      <w:color w:val="000000"/>
      <w:sz w:val="18"/>
    </w:rPr>
  </w:style>
  <w:style w:type="paragraph" w:styleId="bullet">
    <w:name w:val="bullet"/>
    <w:basedOn w:val="Normal"/>
    <w:next w:val="bullet"/>
    <w:qFormat/>
    <w:pPr>
      <w:spacing w:before="180"/>
      <w:ind w:left="567" w:hanging="567"/>
      <w:jc w:val="both"/>
    </w:pPr>
    <w:rPr>
      <w:rFonts w:ascii="Verdana" w:hAnsi="Verdana" w:eastAsia="Verdana"/>
      <w:color w:val="000000"/>
      <w:sz w:val="18"/>
    </w:rPr>
  </w:style>
  <w:style w:type="character" w:styleId="page number">
    <w:name w:val="page number"/>
    <w:qFormat/>
    <w:rPr/>
  </w:style>
  <w:style w:type="character" w:styleId="Hyperlink">
    <w:name w:val="Hyperlink"/>
    <w:qFormat/>
    <w:rPr>
      <w:color w:val="0000FF"/>
      <w:u w:val="single"/>
    </w:rPr>
  </w:style>
  <w:style w:type="character" w:styleId="FollowedHyperlink">
    <w:name w:val="FollowedHyperlink"/>
    <w:qFormat/>
    <w:rPr>
      <w:color w:val="800080"/>
      <w:u w:val="singl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header" Target="header0001_first.xml"/>
	<Relationship Id="rId00007" Type="http://schemas.openxmlformats.org/officeDocument/2006/relationships/footer" Target="footer0001_first.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19.0.142.500</Application>
  <HyperlinkBase>C:\Users\yacouba j.rome el\AppData\Local\Temp\</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